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8"/>
        </w:rPr>
        <w:t>Security Deposit Return Kit</w:t>
      </w:r>
    </w:p>
    <w:p>
      <w:pPr>
        <w:spacing w:after="120" w:before="0" w:line="300" w:lineRule="auto"/>
      </w:pPr>
      <w:r>
        <w:rPr>
          <w:rFonts w:ascii="Arial" w:hAnsi="Arial" w:eastAsia="Arial"/>
          <w:b w:val="0"/>
          <w:i w:val="0"/>
          <w:color w:val="71717A"/>
          <w:sz w:val="22"/>
        </w:rPr>
        <w:t>Return deposits on time, deduct only what you can show, and keep the paper trail.</w:t>
      </w:r>
    </w:p>
    <w:p>
      <w:pPr>
        <w:spacing w:after="60" w:before="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What's inside</w:t>
      </w:r>
    </w:p>
    <w:tbl>
      <w:tblPr>
        <w:tblW w:type="auto" w:w="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3168"/>
        <w:gridCol w:w="6480"/>
      </w:tblGrid>
      <w:tr>
        <w:tc>
          <w:tcPr>
            <w:tcW w:type="dxa" w:w="3168"/>
            <w:shd w:val="clear" w:color="auto" w:fill="E6FFFA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Return letter and itemized statement</w:t>
            </w:r>
          </w:p>
        </w:tc>
        <w:tc>
          <w:tcPr>
            <w:tcW w:type="dxa" w:w="6480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Each deduction with its cost and receipt, and the math from deposit to refund.</w:t>
            </w:r>
          </w:p>
        </w:tc>
      </w:tr>
      <w:tr>
        <w:tc>
          <w:tcPr>
            <w:tcW w:type="dxa" w:w="3168"/>
            <w:shd w:val="clear" w:color="auto" w:fill="E6FFFA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Receipts follow-up</w:t>
            </w:r>
          </w:p>
        </w:tc>
        <w:tc>
          <w:tcPr>
            <w:tcW w:type="dxa" w:w="6480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Send paid receipts later if your statement used estimates.</w:t>
            </w:r>
          </w:p>
        </w:tc>
      </w:tr>
      <w:tr>
        <w:tc>
          <w:tcPr>
            <w:tcW w:type="dxa" w:w="3168"/>
            <w:shd w:val="clear" w:color="auto" w:fill="E6FFFA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Wear and tear vs. damage</w:t>
            </w:r>
          </w:p>
        </w:tc>
        <w:tc>
          <w:tcPr>
            <w:tcW w:type="dxa" w:w="6480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For you: common examples of what's usually deductible.</w:t>
            </w:r>
          </w:p>
        </w:tc>
      </w:tr>
      <w:tr>
        <w:tc>
          <w:tcPr>
            <w:tcW w:type="dxa" w:w="3168"/>
            <w:shd w:val="clear" w:color="auto" w:fill="E6FFFA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Move-out inspection checklist</w:t>
            </w:r>
          </w:p>
        </w:tc>
        <w:tc>
          <w:tcPr>
            <w:tcW w:type="dxa" w:w="6480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Room by room, move-in vs. move-out, with photo numbers.</w:t>
            </w:r>
          </w:p>
        </w:tc>
      </w:tr>
      <w:tr>
        <w:tc>
          <w:tcPr>
            <w:tcW w:type="dxa" w:w="3168"/>
            <w:shd w:val="clear" w:color="auto" w:fill="E6FFFA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Chicago interest worksheet</w:t>
            </w:r>
          </w:p>
        </w:tc>
        <w:tc>
          <w:tcPr>
            <w:tcW w:type="dxa" w:w="6480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Yearly interest on deposits held more than six months.</w:t>
            </w:r>
          </w:p>
        </w:tc>
      </w:tr>
      <w:tr>
        <w:tc>
          <w:tcPr>
            <w:tcW w:type="dxa" w:w="3168"/>
            <w:shd w:val="clear" w:color="auto" w:fill="E6FFFA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9"/>
              </w:rPr>
              <w:t>Delivery log</w:t>
            </w:r>
          </w:p>
        </w:tc>
        <w:tc>
          <w:tcPr>
            <w:tcW w:type="dxa" w:w="6480"/>
            <w:tcMar>
              <w:top w:w="35" w:type="dxa"/>
              <w:bottom w:w="35" w:type="dxa"/>
              <w:start w:w="110" w:type="dxa"/>
              <w:end w:w="9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When and how each statement and payment went out.</w:t>
            </w:r>
          </w:p>
        </w:tc>
      </w:tr>
    </w:tbl>
    <w:p>
      <w:pPr>
        <w:spacing w:after="60" w:before="12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The timeline in Chicago and Illinois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232"/>
        <w:gridCol w:w="7416"/>
      </w:tblGrid>
      <w:tr>
        <w:tc>
          <w:tcPr>
            <w:tcW w:type="dxa" w:w="2232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When</w:t>
            </w:r>
          </w:p>
        </w:tc>
        <w:tc>
          <w:tcPr>
            <w:tcW w:type="dxa" w:w="7416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What to do</w:t>
            </w:r>
          </w:p>
        </w:tc>
      </w:tr>
      <w:tr>
        <w:trPr>
          <w:trHeight w:val="317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Move-out day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Inspect with the checklist, take dated photos, get a forwarding address and email.</w:t>
            </w:r>
          </w:p>
        </w:tc>
      </w:tr>
      <w:tr>
        <w:trPr>
          <w:trHeight w:val="317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Within 30 days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Send the itemized statement with repair costs and paid receipts. Used estimates? Send receipts within 30 more days.</w:t>
            </w:r>
          </w:p>
        </w:tc>
      </w:tr>
      <w:tr>
        <w:trPr>
          <w:trHeight w:val="317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Within 45 days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Return the deposit plus interest owed, minus unpaid rent and itemized damage. No statement? Return it all.</w:t>
            </w:r>
          </w:p>
        </w:tc>
      </w:tr>
    </w:tbl>
    <w:p>
      <w:pPr>
        <w:spacing w:after="60" w:before="12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Check these before you deduct anything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Only rent and real damage. </w:t>
      </w:r>
      <w:r>
        <w:rPr>
          <w:rFonts w:ascii="Arial" w:hAnsi="Arial" w:eastAsia="Arial"/>
          <w:b w:val="0"/>
          <w:i w:val="0"/>
          <w:color w:val="3F3F46"/>
          <w:sz w:val="19"/>
        </w:rPr>
        <w:t>Deductions are limited to unpaid rent and damage beyond normal wear and tear.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Show your costs. </w:t>
      </w:r>
      <w:r>
        <w:rPr>
          <w:rFonts w:ascii="Arial" w:hAnsi="Arial" w:eastAsia="Arial"/>
          <w:b w:val="0"/>
          <w:i w:val="0"/>
          <w:color w:val="3F3F46"/>
          <w:sz w:val="19"/>
        </w:rPr>
        <w:t>Each deduction needs a cost and paid receipts. In Illinois you may charge a reasonable cost for your own labor.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Send it the right way. </w:t>
      </w:r>
      <w:r>
        <w:rPr>
          <w:rFonts w:ascii="Arial" w:hAnsi="Arial" w:eastAsia="Arial"/>
          <w:b w:val="0"/>
          <w:i w:val="0"/>
          <w:color w:val="3F3F46"/>
          <w:sz w:val="19"/>
        </w:rPr>
        <w:t>Illinois allows personal delivery, postmarked mail, or email to an address the tenant gave you.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Chicago extras. </w:t>
      </w:r>
      <w:r>
        <w:rPr>
          <w:rFonts w:ascii="Arial" w:hAnsi="Arial" w:eastAsia="Arial"/>
          <w:b w:val="0"/>
          <w:i w:val="0"/>
          <w:color w:val="3F3F46"/>
          <w:sz w:val="19"/>
        </w:rPr>
        <w:t>The RLTO also requires a signed deposit receipt, a federally insured Illinois account, telling the tenant which bank within 14 days, and yearly interest after six months. Violations can cost two times the deposit plus interest.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tcBorders>
              <w:left w:val="single" w:sz="24" w:color="0F766E"/>
            </w:tcBorders>
            <w:shd w:val="clear" w:color="auto" w:fill="E6FFFA"/>
            <w:tcMar>
              <w:top w:w="120" w:type="dxa"/>
              <w:bottom w:w="120" w:type="dxa"/>
              <w:start w:w="200" w:type="dxa"/>
              <w:end w:w="200" w:type="dxa"/>
            </w:tcMar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Does Chicago's RLTO cover your unit? Most Chicago rentals, yes. Units in owner-occupied buildings with six or fewer units are not covered (nor are some other housing types). Illinois' Security Deposit Return Act still applies to every residential landlord.</w:t>
            </w:r>
          </w:p>
        </w:tc>
      </w:tr>
    </w:tbl>
    <w:p>
      <w:pPr>
        <w:spacing w:after="120" w:before="60" w:line="300" w:lineRule="auto"/>
      </w:pPr>
      <w:r>
        <w:rPr>
          <w:rFonts w:ascii="Arial" w:hAnsi="Arial" w:eastAsia="Arial"/>
          <w:b w:val="0"/>
          <w:i w:val="0"/>
          <w:color w:val="71717A"/>
          <w:sz w:val="15"/>
        </w:rPr>
        <w:t>Sources: City of Chicago Department of Housing (RLTO summary; 2026 deposit interest rate); 765 ILCS 710. Not legal advice. Rules change; check yours or talk to a local attorney.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18181B"/>
            <w:tcMar>
              <w:top w:w="200" w:type="dxa"/>
              <w:bottom w:w="200" w:type="dxa"/>
              <w:start w:w="260" w:type="dxa"/>
              <w:end w:w="260" w:type="dxa"/>
            </w:tcMar>
          </w:tcPr>
          <w:p>
            <w:pPr>
              <w:spacing w:after="8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6"/>
              </w:rPr>
              <w:t>Want move-outs to start from the record?</w:t>
            </w:r>
          </w:p>
          <w:p>
            <w:r>
              <w:rPr>
                <w:rFonts w:ascii="Arial" w:hAnsi="Arial" w:eastAsia="Arial"/>
                <w:b w:val="0"/>
                <w:i w:val="0"/>
                <w:color w:val="D4D4D8"/>
                <w:sz w:val="19"/>
              </w:rPr>
              <w:t>Landlord's Desk keeps each tenant's deposit, ledger and documents together. You approve every change before it goes out.</w:t>
            </w:r>
          </w:p>
          <w:p>
            <w:pPr>
              <w:spacing w:before="120"/>
            </w:pPr>
            <w:hyperlink r:id="rId10">
              <w:r>
                <w:rPr>
                  <w:rFonts w:ascii="Arial" w:hAnsi="Arial"/>
                  <w:b/>
                  <w:color w:val="00F5D4"/>
                  <w:sz w:val="20"/>
                  <w:u w:val="single"/>
                </w:rPr>
                <w:t>Join the founding waitlist at landlordsdesk.com</w:t>
              </w:r>
            </w:hyperlink>
          </w:p>
        </w:tc>
      </w:tr>
    </w:tbl>
    <w:p>
      <w:pPr>
        <w:sectPr>
          <w:footerReference w:type="default" r:id="rId9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Security Deposit Return</w:t>
      </w:r>
    </w:p>
    <w:p>
      <w:pPr>
        <w:spacing w:after="28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And itemized statement of deductions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To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,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[forwarding address]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Moved out on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[Move-out date]</w:t>
            </w:r>
          </w:p>
        </w:tc>
      </w:tr>
    </w:tbl>
    <w:p>
      <w:pPr>
        <w:spacing w:after="160" w:before="20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>Here is the accounting of your security deposit. Deductions are limited to unpaid rent and damage beyond normal wear and tear.</w:t>
      </w:r>
    </w:p>
    <w:p>
      <w:pPr>
        <w:spacing w:after="80" w:before="0" w:line="300" w:lineRule="auto"/>
      </w:pPr>
      <w:r>
        <w:rPr>
          <w:rFonts w:ascii="Arial" w:hAnsi="Arial" w:eastAsia="Arial"/>
          <w:b/>
          <w:i w:val="0"/>
          <w:color w:val="18181B"/>
          <w:sz w:val="21"/>
        </w:rPr>
        <w:t>Itemized deductions for damage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160"/>
        <w:gridCol w:w="3528"/>
        <w:gridCol w:w="1224"/>
        <w:gridCol w:w="1440"/>
        <w:gridCol w:w="1296"/>
      </w:tblGrid>
      <w:tr>
        <w:tc>
          <w:tcPr>
            <w:tcW w:type="dxa" w:w="216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Item and location</w:t>
            </w:r>
          </w:p>
        </w:tc>
        <w:tc>
          <w:tcPr>
            <w:tcW w:type="dxa" w:w="3528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Damage (compared with move-in)</w:t>
            </w:r>
          </w:p>
        </w:tc>
        <w:tc>
          <w:tcPr>
            <w:tcW w:type="dxa" w:w="122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Cost</w:t>
            </w:r>
          </w:p>
        </w:tc>
        <w:tc>
          <w:tcPr>
            <w:tcW w:type="dxa" w:w="144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Actual / estimate</w:t>
            </w:r>
          </w:p>
        </w:tc>
        <w:tc>
          <w:tcPr>
            <w:tcW w:type="dxa" w:w="1296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Receipt #</w:t>
            </w:r>
          </w:p>
        </w:tc>
      </w:tr>
      <w:tr>
        <w:trPr>
          <w:trHeight w:val="403"/>
        </w:trPr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35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03"/>
        </w:trPr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35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03"/>
        </w:trPr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35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03"/>
        </w:trPr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35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</w:tbl>
    <w:p>
      <w:pPr>
        <w:spacing w:after="40" w:before="0" w:line="300" w:lineRule="auto"/>
      </w:pP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Security deposit held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Plus interest owed, if any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+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Minus unpaid rent  (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[months or dates]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)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−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Minus damage deductions  (total from the table above)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−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shd w:val="clear" w:color="auto" w:fill="E6FFFA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2"/>
              </w:rPr>
              <w:t>Amount returned to you</w:t>
            </w:r>
          </w:p>
        </w:tc>
        <w:tc>
          <w:tcPr>
            <w:tcW w:type="dxa" w:w="2448"/>
            <w:shd w:val="clear" w:color="auto" w:fill="E6FFFA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F766E"/>
                <w:sz w:val="22"/>
                <w:shd w:val="clear" w:color="auto" w:fill="EEF2F4"/>
              </w:rPr>
              <w:t>[$ 0.00]</w:t>
            </w:r>
          </w:p>
        </w:tc>
      </w:tr>
    </w:tbl>
    <w:p>
      <w:pPr>
        <w:spacing w:after="80" w:before="0" w:line="300" w:lineRule="auto"/>
      </w:pPr>
    </w:p>
    <w:p>
      <w:pPr>
        <w:spacing w:after="80" w:before="0" w:line="288" w:lineRule="auto"/>
      </w:pPr>
      <w:r>
        <w:rPr>
          <w:rFonts w:ascii="Arial" w:hAnsi="Arial" w:eastAsia="Arial"/>
          <w:b w:val="0"/>
          <w:i w:val="0"/>
          <w:color w:val="18181B"/>
          <w:sz w:val="19"/>
        </w:rPr>
        <w:t xml:space="preserve">Refund sent by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[check # or payment method]</w:t>
      </w:r>
      <w:r>
        <w:rPr>
          <w:rFonts w:ascii="Arial" w:hAnsi="Arial" w:eastAsia="Arial"/>
          <w:b w:val="0"/>
          <w:i w:val="0"/>
          <w:color w:val="18181B"/>
          <w:sz w:val="19"/>
        </w:rPr>
        <w:t xml:space="preserve"> on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19"/>
        </w:rPr>
        <w:t xml:space="preserve">. If deductions are more than the deposit, the balance you owe is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[$ 0.00]</w:t>
      </w:r>
      <w:r>
        <w:rPr>
          <w:rFonts w:ascii="Arial" w:hAnsi="Arial" w:eastAsia="Arial"/>
          <w:b w:val="0"/>
          <w:i w:val="0"/>
          <w:color w:val="18181B"/>
          <w:sz w:val="19"/>
        </w:rPr>
        <w:t xml:space="preserve">, due by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19"/>
        </w:rPr>
        <w:t>.</w:t>
      </w:r>
    </w:p>
    <w:p>
      <w:pPr>
        <w:spacing w:after="80" w:before="0" w:line="288" w:lineRule="auto"/>
      </w:pPr>
      <w:r>
        <w:rPr>
          <w:rFonts w:ascii="Arial" w:hAnsi="Arial" w:eastAsia="Arial"/>
          <w:b w:val="0"/>
          <w:i w:val="0"/>
          <w:color w:val="18181B"/>
          <w:sz w:val="19"/>
        </w:rPr>
        <w:t xml:space="preserve">Copies of paid receipts are attached. Questions? Contact me at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18181B"/>
          <w:sz w:val="19"/>
        </w:rPr>
        <w:t xml:space="preserve"> or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  <w:r>
        <w:rPr>
          <w:rFonts w:ascii="Arial" w:hAnsi="Arial" w:eastAsia="Arial"/>
          <w:b w:val="0"/>
          <w:i w:val="0"/>
          <w:color w:val="18181B"/>
          <w:sz w:val="19"/>
        </w:rPr>
        <w:t>.</w:t>
      </w:r>
    </w:p>
    <w:p>
      <w:pPr>
        <w:spacing w:after="40" w:before="0" w:line="300" w:lineRule="auto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19"/>
        </w:rPr>
        <w:t>Some costs above are estimates. I'll send the paid receipts for those items within 30 days of this statement.</w:t>
      </w:r>
    </w:p>
    <w:p>
      <w:pPr>
        <w:spacing w:after="120" w:before="40" w:line="300" w:lineRule="auto"/>
      </w:pPr>
      <w:r>
        <w:rPr>
          <w:rFonts w:ascii="Arial" w:hAnsi="Arial" w:eastAsia="Arial"/>
          <w:b/>
          <w:i w:val="0"/>
          <w:color w:val="18181B"/>
          <w:sz w:val="19"/>
        </w:rPr>
        <w:t xml:space="preserve">Attached:  </w:t>
      </w:r>
      <w:r>
        <w:rPr>
          <w:rFonts w:ascii="Arial" w:hAnsi="Arial" w:eastAsia="Arial"/>
          <w:b w:val="0"/>
          <w:i w:val="0"/>
          <w:color w:val="3F3F46"/>
          <w:sz w:val="19"/>
        </w:rPr>
        <w:t>☐ paid receipts   ☐ estimates   ☐ photos   ☐ move-out checklist   ☐ lease page listing agreed costs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 w:before="32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signature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 w:before="32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[Title, for example owner or property manager]</w:t>
            </w:r>
          </w:p>
        </w:tc>
      </w:tr>
    </w:tbl>
    <w:p>
      <w:pPr>
        <w:sectPr>
          <w:footerReference w:type="default" r:id="rId11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Paid Receipts for Estimated Repairs</w:t>
      </w:r>
    </w:p>
    <w:p>
      <w:pPr>
        <w:spacing w:after="28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Follow-up to your security deposit statement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To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,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[forwarding address]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Original statement dated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 of itemized statement]</w:t>
            </w:r>
          </w:p>
        </w:tc>
      </w:tr>
    </w:tbl>
    <w:p>
      <w:pPr>
        <w:spacing w:after="160" w:before="20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My statement dated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listed estimated costs for some repairs. The work is now done. Here are the paid receipts and the final amounts.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3311"/>
        <w:gridCol w:w="1440"/>
        <w:gridCol w:w="1728"/>
        <w:gridCol w:w="1584"/>
        <w:gridCol w:w="1584"/>
      </w:tblGrid>
      <w:tr>
        <w:tc>
          <w:tcPr>
            <w:tcW w:type="dxa" w:w="3312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Item and location</w:t>
            </w:r>
          </w:p>
        </w:tc>
        <w:tc>
          <w:tcPr>
            <w:tcW w:type="dxa" w:w="144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Estimate</w:t>
            </w:r>
          </w:p>
        </w:tc>
        <w:tc>
          <w:tcPr>
            <w:tcW w:type="dxa" w:w="1728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Final paid cost</w:t>
            </w:r>
          </w:p>
        </w:tc>
        <w:tc>
          <w:tcPr>
            <w:tcW w:type="dxa" w:w="158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Difference</w:t>
            </w:r>
          </w:p>
        </w:tc>
        <w:tc>
          <w:tcPr>
            <w:tcW w:type="dxa" w:w="158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Receipt #</w:t>
            </w:r>
          </w:p>
        </w:tc>
      </w:tr>
      <w:tr>
        <w:trPr>
          <w:trHeight w:val="432"/>
        </w:trPr>
        <w:tc>
          <w:tcPr>
            <w:tcW w:type="dxa" w:w="331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32"/>
        </w:trPr>
        <w:tc>
          <w:tcPr>
            <w:tcW w:type="dxa" w:w="331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32"/>
        </w:trPr>
        <w:tc>
          <w:tcPr>
            <w:tcW w:type="dxa" w:w="331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32"/>
        </w:trPr>
        <w:tc>
          <w:tcPr>
            <w:tcW w:type="dxa" w:w="331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44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</w:tbl>
    <w:p>
      <w:pPr>
        <w:spacing w:after="120" w:before="0" w:line="300" w:lineRule="auto"/>
      </w:pP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Total of estimates on the original statement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Total of final paid costs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shd w:val="clear" w:color="auto" w:fill="E6FFFA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2"/>
              </w:rPr>
              <w:t>Additional refund to you  (if final costs were lower)</w:t>
            </w:r>
          </w:p>
        </w:tc>
        <w:tc>
          <w:tcPr>
            <w:tcW w:type="dxa" w:w="2448"/>
            <w:shd w:val="clear" w:color="auto" w:fill="E6FFFA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F766E"/>
                <w:sz w:val="22"/>
                <w:shd w:val="clear" w:color="auto" w:fill="EEF2F4"/>
              </w:rPr>
              <w:t>[$ 0.00]</w:t>
            </w:r>
          </w:p>
        </w:tc>
      </w:tr>
    </w:tbl>
    <w:p>
      <w:pPr>
        <w:spacing w:after="80" w:before="0" w:line="300" w:lineRule="auto"/>
      </w:pPr>
    </w:p>
    <w:p>
      <w:pPr>
        <w:spacing w:after="40" w:before="0" w:line="300" w:lineRule="auto"/>
      </w:pPr>
      <w:r>
        <w:rPr>
          <w:rFonts w:ascii="Arial" w:hAnsi="Arial" w:eastAsia="Arial"/>
          <w:b w:val="0"/>
          <w:i w:val="0"/>
          <w:color w:val="3F3F46"/>
          <w:sz w:val="23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Final costs were lower than estimated. The difference was sent by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[check # or payment method]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 on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20"/>
        </w:rPr>
        <w:t>.</w:t>
      </w:r>
    </w:p>
    <w:p>
      <w:pPr>
        <w:spacing w:after="160" w:before="0" w:line="312" w:lineRule="auto"/>
      </w:pPr>
      <w:r>
        <w:rPr>
          <w:rFonts w:ascii="Arial" w:hAnsi="Arial" w:eastAsia="Arial"/>
          <w:b w:val="0"/>
          <w:i w:val="0"/>
          <w:color w:val="18181B"/>
          <w:sz w:val="20"/>
        </w:rPr>
        <w:t xml:space="preserve">Copies of the paid receipts are attached. If you have questions, please contact me at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 or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[email]</w:t>
      </w:r>
      <w:r>
        <w:rPr>
          <w:rFonts w:ascii="Arial" w:hAnsi="Arial" w:eastAsia="Arial"/>
          <w:b w:val="0"/>
          <w:i w:val="0"/>
          <w:color w:val="18181B"/>
          <w:sz w:val="20"/>
        </w:rPr>
        <w:t>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 w:before="32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signature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 w:before="32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[Title]</w:t>
            </w:r>
          </w:p>
        </w:tc>
      </w:tr>
    </w:tbl>
    <w:p>
      <w:pPr>
        <w:spacing w:after="0" w:before="160" w:line="300" w:lineRule="auto"/>
      </w:pPr>
      <w:r>
        <w:rPr>
          <w:rFonts w:ascii="Arial" w:hAnsi="Arial" w:eastAsia="Arial"/>
          <w:b w:val="0"/>
          <w:i w:val="0"/>
          <w:color w:val="3F3F46"/>
          <w:sz w:val="18"/>
        </w:rPr>
        <w:t xml:space="preserve">Your copy only. Delivered on </w:t>
      </w:r>
      <w:r>
        <w:rPr>
          <w:rFonts w:ascii="Arial" w:hAnsi="Arial" w:eastAsia="Arial"/>
          <w:b w:val="0"/>
          <w:i w:val="0"/>
          <w:color w:val="0F766E"/>
          <w:sz w:val="18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3F3F46"/>
          <w:sz w:val="18"/>
        </w:rPr>
        <w:t xml:space="preserve"> by   ☐ hand   ☐ postmarked mail   ☐ certified mail   ☐ email to </w:t>
      </w:r>
      <w:r>
        <w:rPr>
          <w:rFonts w:ascii="Arial" w:hAnsi="Arial" w:eastAsia="Arial"/>
          <w:b w:val="0"/>
          <w:i w:val="0"/>
          <w:color w:val="0F766E"/>
          <w:sz w:val="18"/>
          <w:shd w:val="clear" w:color="auto" w:fill="EEF2F4"/>
        </w:rPr>
        <w:t>[tenant-provided address]</w:t>
      </w:r>
    </w:p>
    <w:p>
      <w:pPr>
        <w:sectPr>
          <w:footerReference w:type="default" r:id="rId12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Normal Wear and Tear vs. Damage</w:t>
      </w:r>
    </w:p>
    <w:p>
      <w:pPr>
        <w:spacing w:after="200" w:before="0" w:line="312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For you. Wear and tear is the normal cost of renting; damage is what goes beyond it. These are common examples, not legal rules.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728"/>
        <w:gridCol w:w="3960"/>
        <w:gridCol w:w="3960"/>
      </w:tblGrid>
      <w:tr>
        <w:tc>
          <w:tcPr>
            <w:tcW w:type="dxa" w:w="1728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Area</w:t>
            </w:r>
          </w:p>
        </w:tc>
        <w:tc>
          <w:tcPr>
            <w:tcW w:type="dxa" w:w="396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Usually normal wear and tear</w:t>
            </w:r>
          </w:p>
        </w:tc>
        <w:tc>
          <w:tcPr>
            <w:tcW w:type="dxa" w:w="396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Usually damage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Walls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A few small nail holes, light scuffs, paint faded by sun or age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Large holes or gouges, crayon or marker, unapproved paint colors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Carpet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Worn paths where people walk, matting, light fading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Burns, pet urine or large stains, tears, missing sections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Floors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Light surface scratches, dull finish from normal use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Deep gouges, water damage from spills left standing, burns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Kitchen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Worn countertop finish, loose cabinet hinges from normal use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Burns or cuts in counters, broken shelves or drawers, broken appliance parts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Bathroom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Worn grout, minor fixture wear, light mineral buildup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Cracked sink or toilet, broken fixtures, mold from ignored leaks the tenant didn't report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Doors and windows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Sticking doors, worn handles, sun-faded blinds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Broken doors or windows, bent or missing blinds, damaged screens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Keys and fixtures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Light bulbs burned out after normal use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Missing keys or fobs, removed fixtures or smoke detectors</w:t>
            </w:r>
          </w:p>
        </w:tc>
      </w:tr>
      <w:tr>
        <w:trPr>
          <w:trHeight w:val="432"/>
        </w:trPr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8"/>
              </w:rPr>
              <w:t>Cleaning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Normal cleaning between tenants</w:t>
            </w:r>
          </w:p>
        </w:tc>
        <w:tc>
          <w:tcPr>
            <w:tcW w:type="dxa" w:w="39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8"/>
              </w:rPr>
              <w:t>Extra cleaning for trash, heavy grime or items left behind, where your lease and local law allow</w:t>
            </w:r>
          </w:p>
        </w:tc>
      </w:tr>
    </w:tbl>
    <w:p>
      <w:pPr>
        <w:spacing w:after="80" w:before="24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Charging fairly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Compare with move-in. </w:t>
      </w:r>
      <w:r>
        <w:rPr>
          <w:rFonts w:ascii="Arial" w:hAnsi="Arial" w:eastAsia="Arial"/>
          <w:b w:val="0"/>
          <w:i w:val="0"/>
          <w:color w:val="3F3F46"/>
          <w:sz w:val="19"/>
        </w:rPr>
        <w:t>A deduction is strongest when your move-in record shows the item was fine before.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Charge the real cost. </w:t>
      </w:r>
      <w:r>
        <w:rPr>
          <w:rFonts w:ascii="Arial" w:hAnsi="Arial" w:eastAsia="Arial"/>
          <w:b w:val="0"/>
          <w:i w:val="0"/>
          <w:color w:val="3F3F46"/>
          <w:sz w:val="19"/>
        </w:rPr>
        <w:t>Use receipts, estimates or a reasonable rate for your own labor, not a flat penalty.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Consider the item's age. </w:t>
      </w:r>
      <w:r>
        <w:rPr>
          <w:rFonts w:ascii="Arial" w:hAnsi="Arial" w:eastAsia="Arial"/>
          <w:b w:val="0"/>
          <w:i w:val="0"/>
          <w:color w:val="3F3F46"/>
          <w:sz w:val="19"/>
        </w:rPr>
        <w:t>Many landlords prorate replacement by remaining useful life, for example charging for 3 of 8 years left on a carpet. It's a common practice, not a formula set by Chicago or Illinois law.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19"/>
        </w:rPr>
        <w:t xml:space="preserve">✓  </w:t>
      </w:r>
      <w:r>
        <w:rPr>
          <w:rFonts w:ascii="Arial" w:hAnsi="Arial" w:eastAsia="Arial"/>
          <w:b/>
          <w:i w:val="0"/>
          <w:color w:val="18181B"/>
          <w:sz w:val="19"/>
        </w:rPr>
        <w:t xml:space="preserve">Photos help. </w:t>
      </w:r>
      <w:r>
        <w:rPr>
          <w:rFonts w:ascii="Arial" w:hAnsi="Arial" w:eastAsia="Arial"/>
          <w:b w:val="0"/>
          <w:i w:val="0"/>
          <w:color w:val="3F3F46"/>
          <w:sz w:val="19"/>
        </w:rPr>
        <w:t>Dated photos at move-in and move-out are strong evidence. California requires them; in Illinois they're good practice.</w:t>
      </w:r>
    </w:p>
    <w:p>
      <w:pPr>
        <w:spacing w:after="80" w:before="24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Deadlines elsewhere (as of September 2026; always check yours)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232"/>
        <w:gridCol w:w="7416"/>
      </w:tblGrid>
      <w:tr>
        <w:tc>
          <w:tcPr>
            <w:tcW w:type="dxa" w:w="2232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Where</w:t>
            </w:r>
          </w:p>
        </w:tc>
        <w:tc>
          <w:tcPr>
            <w:tcW w:type="dxa" w:w="7416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Deadline</w:t>
            </w:r>
          </w:p>
        </w:tc>
      </w:tr>
      <w:tr>
        <w:trPr>
          <w:trHeight w:val="288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California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7"/>
              </w:rPr>
              <w:t>21 days, with an itemized statement; photos required for deductions.</w:t>
            </w:r>
          </w:p>
        </w:tc>
      </w:tr>
      <w:tr>
        <w:trPr>
          <w:trHeight w:val="288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New York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7"/>
              </w:rPr>
              <w:t>14 days, with an itemized statement.</w:t>
            </w:r>
          </w:p>
        </w:tc>
      </w:tr>
      <w:tr>
        <w:trPr>
          <w:trHeight w:val="288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Texas  ·  Washington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7"/>
              </w:rPr>
              <w:t>30 days (Washington also requires a move-in checklist to keep any of it).</w:t>
            </w:r>
          </w:p>
        </w:tc>
      </w:tr>
      <w:tr>
        <w:trPr>
          <w:trHeight w:val="288"/>
        </w:trPr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Florida</w:t>
            </w:r>
          </w:p>
        </w:tc>
        <w:tc>
          <w:tcPr>
            <w:tcW w:type="dxa" w:w="7416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7"/>
              </w:rPr>
              <w:t>15 days to return in full, or 30 days to send written notice of a claim.</w:t>
            </w:r>
          </w:p>
        </w:tc>
      </w:tr>
    </w:tbl>
    <w:p>
      <w:pPr>
        <w:spacing w:after="0" w:before="12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Not legal advice. What counts as damage, and the deadlines, depend on your lease and local rules.</w:t>
      </w:r>
    </w:p>
    <w:p>
      <w:pPr>
        <w:sectPr>
          <w:footerReference w:type="default" r:id="rId13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2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Move-Out Inspection Checklist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Tenant(s)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 / keys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 / 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[# keys, fobs, remotes returned]</w:t>
            </w:r>
          </w:p>
        </w:tc>
      </w:tr>
    </w:tbl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520"/>
        <w:gridCol w:w="1944"/>
        <w:gridCol w:w="1944"/>
        <w:gridCol w:w="1080"/>
        <w:gridCol w:w="2160"/>
      </w:tblGrid>
      <w:tr>
        <w:tc>
          <w:tcPr>
            <w:tcW w:type="dxa" w:w="252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Room / item</w:t>
            </w:r>
          </w:p>
        </w:tc>
        <w:tc>
          <w:tcPr>
            <w:tcW w:type="dxa" w:w="194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At move-in</w:t>
            </w:r>
          </w:p>
        </w:tc>
        <w:tc>
          <w:tcPr>
            <w:tcW w:type="dxa" w:w="194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At move-out</w:t>
            </w:r>
          </w:p>
        </w:tc>
        <w:tc>
          <w:tcPr>
            <w:tcW w:type="dxa" w:w="108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Photo #</w:t>
            </w:r>
          </w:p>
        </w:tc>
        <w:tc>
          <w:tcPr>
            <w:tcW w:type="dxa" w:w="216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Notes / est. cost</w:t>
            </w:r>
          </w:p>
        </w:tc>
      </w:tr>
      <w:tr>
        <w:trPr>
          <w:trHeight w:val="346"/>
        </w:trPr>
        <w:tc>
          <w:tcPr>
            <w:tcW w:type="dxa" w:w="252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Living areas</w:t>
            </w: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Walls and ceiling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Floors / carpet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Windows, screens, blinds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Doors, locks, lights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Kitchen</w:t>
            </w: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Counters and cabinets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Appliances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Sink and plumbing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Bathroom(s)</w:t>
            </w: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Tub / shower and toilet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Sink, vanity, floors, walls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Bedrooms</w:t>
            </w: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Walls and floors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Closets, doors, windows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>Whole unit</w:t>
            </w: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shd w:val="clear" w:color="auto" w:fill="E6FFFA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Smoke / CO detectors, heating and cooling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  <w:tr>
        <w:trPr>
          <w:trHeight w:val="346"/>
        </w:trPr>
        <w:tc>
          <w:tcPr>
            <w:tcW w:type="dxa" w:w="252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17"/>
              </w:rPr>
              <w:t xml:space="preserve">   Other: </w:t>
            </w:r>
            <w:r>
              <w:rPr>
                <w:rFonts w:ascii="Arial" w:hAnsi="Arial" w:eastAsia="Arial"/>
                <w:b/>
                <w:i w:val="0"/>
                <w:color w:val="0F766E"/>
                <w:sz w:val="17"/>
                <w:shd w:val="clear" w:color="auto" w:fill="EEF2F4"/>
              </w:rPr>
              <w:t>[describe]</w:t>
            </w: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944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108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</w:p>
        </w:tc>
      </w:tr>
    </w:tbl>
    <w:p>
      <w:pPr>
        <w:spacing w:after="80" w:before="0" w:line="300" w:lineRule="auto"/>
      </w:pP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 w:before="32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landlord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 w:before="32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[Tenant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tenant (optional)</w:t>
            </w:r>
          </w:p>
        </w:tc>
      </w:tr>
    </w:tbl>
    <w:p>
      <w:pPr>
        <w:spacing w:after="0" w:before="8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Signing only confirms the inspection took place and what was observed. It doesn't mean the tenant agrees to any deduction.</w:t>
      </w:r>
    </w:p>
    <w:p>
      <w:pPr>
        <w:sectPr>
          <w:footerReference w:type="default" r:id="rId14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Chicago Deposit Interest Worksheet</w:t>
      </w:r>
    </w:p>
    <w:p>
      <w:pPr>
        <w:spacing w:after="200" w:before="0" w:line="312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For Chicago units covered by the RLTO. Interest is owed on deposits held more than six months, paid within 30 days after each 12-month rental period, in cash or as a rent credit.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Tenant / unit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name, unit]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Deposit amount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 received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Held at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[Bank name]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 (tenant told in writing on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>)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Receipt given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</w:tbl>
    <w:p>
      <w:pPr>
        <w:spacing w:after="80" w:before="24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Yearly interest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304"/>
        <w:gridCol w:w="1728"/>
        <w:gridCol w:w="2160"/>
        <w:gridCol w:w="1872"/>
        <w:gridCol w:w="1584"/>
      </w:tblGrid>
      <w:tr>
        <w:tc>
          <w:tcPr>
            <w:tcW w:type="dxa" w:w="230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12-month period</w:t>
            </w:r>
          </w:p>
        </w:tc>
        <w:tc>
          <w:tcPr>
            <w:tcW w:type="dxa" w:w="1728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Rate for that year</w:t>
            </w:r>
          </w:p>
        </w:tc>
        <w:tc>
          <w:tcPr>
            <w:tcW w:type="dxa" w:w="216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Interest (deposit × rate)</w:t>
            </w:r>
          </w:p>
        </w:tc>
        <w:tc>
          <w:tcPr>
            <w:tcW w:type="dxa" w:w="1872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Paid or credited on</w:t>
            </w:r>
          </w:p>
        </w:tc>
        <w:tc>
          <w:tcPr>
            <w:tcW w:type="dxa" w:w="158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Cash or rent credit</w:t>
            </w:r>
          </w:p>
        </w:tc>
      </w:tr>
      <w:tr>
        <w:trPr>
          <w:trHeight w:val="490"/>
        </w:trPr>
        <w:tc>
          <w:tcPr>
            <w:tcW w:type="dxa" w:w="230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90"/>
        </w:trPr>
        <w:tc>
          <w:tcPr>
            <w:tcW w:type="dxa" w:w="230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90"/>
        </w:trPr>
        <w:tc>
          <w:tcPr>
            <w:tcW w:type="dxa" w:w="230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90"/>
        </w:trPr>
        <w:tc>
          <w:tcPr>
            <w:tcW w:type="dxa" w:w="230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490"/>
        </w:trPr>
        <w:tc>
          <w:tcPr>
            <w:tcW w:type="dxa" w:w="230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72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16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7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58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</w:tbl>
    <w:p>
      <w:pPr>
        <w:spacing w:after="120" w:before="120" w:line="300" w:lineRule="auto"/>
      </w:pPr>
      <w:r>
        <w:rPr>
          <w:rFonts w:ascii="Arial" w:hAnsi="Arial" w:eastAsia="Arial"/>
          <w:b w:val="0"/>
          <w:i w:val="0"/>
          <w:color w:val="3F3F46"/>
          <w:sz w:val="19"/>
        </w:rPr>
        <w:t>Example: $1,500 deposit × 0.01% = $0.15 for the year.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tcBorders>
              <w:left w:val="single" w:sz="24" w:color="0F766E"/>
            </w:tcBorders>
            <w:shd w:val="clear" w:color="auto" w:fill="E6FFFA"/>
            <w:tcMar>
              <w:top w:w="120" w:type="dxa"/>
              <w:bottom w:w="120" w:type="dxa"/>
              <w:start w:w="200" w:type="dxa"/>
              <w:end w:w="200" w:type="dxa"/>
            </w:tcMar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The City Comptroller sets the rate each January. For 2026 it is 0.01%. Look up each year's rate on the City of Chicago Department of Housing website before you calculate.</w:t>
            </w:r>
          </w:p>
        </w:tc>
      </w:tr>
    </w:tbl>
    <w:p>
      <w:pPr>
        <w:spacing w:after="80" w:before="200" w:line="300" w:lineRule="auto"/>
      </w:pPr>
      <w:r>
        <w:rPr>
          <w:rFonts w:ascii="Arial" w:hAnsi="Arial" w:eastAsia="Arial"/>
          <w:b/>
          <w:i w:val="0"/>
          <w:color w:val="18181B"/>
          <w:sz w:val="23"/>
        </w:rPr>
        <w:t>At move-out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Interest still owed, if any (carry it to the return statement)</w:t>
            </w:r>
          </w:p>
        </w:tc>
        <w:tc>
          <w:tcPr>
            <w:tcW w:type="dxa" w:w="2448"/>
            <w:tcMar>
              <w:top w:w="25" w:type="dxa"/>
              <w:bottom w:w="25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</w:tbl>
    <w:p>
      <w:pPr>
        <w:spacing w:after="0" w:before="16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Outside Chicago: buildings or complexes with 25 or more units anywhere in Illinois fall under a separate state interest law (Security Deposit Interest Act, 765 ILCS 715). Not legal advice.</w:t>
      </w:r>
    </w:p>
    <w:p>
      <w:pPr>
        <w:sectPr>
          <w:footerReference w:type="default" r:id="rId15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Delivery Log</w:t>
      </w:r>
    </w:p>
    <w:p>
      <w:pPr>
        <w:spacing w:after="24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Record every statement, receipt and payment. If the timing is ever questioned, this is your proof.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224"/>
        <w:gridCol w:w="1800"/>
        <w:gridCol w:w="2232"/>
        <w:gridCol w:w="1296"/>
        <w:gridCol w:w="1800"/>
        <w:gridCol w:w="1368"/>
      </w:tblGrid>
      <w:tr>
        <w:tc>
          <w:tcPr>
            <w:tcW w:type="dxa" w:w="1224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Date sent</w:t>
            </w:r>
          </w:p>
        </w:tc>
        <w:tc>
          <w:tcPr>
            <w:tcW w:type="dxa" w:w="180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Tenant / unit</w:t>
            </w:r>
          </w:p>
        </w:tc>
        <w:tc>
          <w:tcPr>
            <w:tcW w:type="dxa" w:w="2232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What was sent</w:t>
            </w:r>
          </w:p>
        </w:tc>
        <w:tc>
          <w:tcPr>
            <w:tcW w:type="dxa" w:w="1296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How</w:t>
            </w:r>
          </w:p>
        </w:tc>
        <w:tc>
          <w:tcPr>
            <w:tcW w:type="dxa" w:w="1800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Tracking # / email</w:t>
            </w:r>
          </w:p>
        </w:tc>
        <w:tc>
          <w:tcPr>
            <w:tcW w:type="dxa" w:w="1368"/>
            <w:shd w:val="clear" w:color="auto" w:fill="18181B"/>
            <w:tcMar>
              <w:top w:w="50" w:type="dxa"/>
              <w:bottom w:w="50" w:type="dxa"/>
              <w:start w:w="90" w:type="dxa"/>
              <w:end w:w="7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Days after move-out</w:t>
            </w:r>
          </w:p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2232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296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  <w:tc>
          <w:tcPr>
            <w:tcW w:type="dxa" w:w="1368"/>
            <w:tcMar>
              <w:top w:w="50" w:type="dxa"/>
              <w:bottom w:w="50" w:type="dxa"/>
              <w:start w:w="90" w:type="dxa"/>
              <w:end w:w="70" w:type="dxa"/>
            </w:tcMar>
          </w:tcPr>
          <w:p/>
        </w:tc>
      </w:tr>
    </w:tbl>
    <w:p>
      <w:pPr>
        <w:spacing w:after="0" w:before="16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How: hand, postmarked mail, certified mail, email to a tenant-provided address. Keep a copy of everything you send.</w:t>
      </w:r>
    </w:p>
    <w:sectPr w:rsidR="00FC693F" w:rsidRPr="0006063C" w:rsidSect="00034616">
      <w:footerReference w:type="default" r:id="rId16"/>
      <w:pgSz w:w="12240" w:h="15840"/>
      <w:pgMar w:top="1080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Security Deposit Return Kit  ·  free from Landlord's Desk  ·  landlordsdesk.com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Security Deposit Return Kit  ·  free from Landlord's Desk  ·  landlordsdesk.com</w:t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Security Deposit Return Kit  ·  free from Landlord's Desk  ·  landlordsdesk.com</w:t>
    </w:r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Security Deposit Return Kit  ·  free from Landlord's Desk  ·  landlordsdesk.com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landlordsdesk.com/?utm_source=template&amp;utm_medium=docx&amp;utm_campaign=security_deposit_kit" TargetMode="Externa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Deposit Return Kit</dc:title>
  <dc:subject/>
  <dc:creator>Landlord's Desk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